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13" w:rsidRPr="00591A31" w:rsidRDefault="003D6BB1" w:rsidP="00B00313">
      <w:pPr>
        <w:spacing w:line="276" w:lineRule="auto"/>
        <w:jc w:val="both"/>
        <w:rPr>
          <w:sz w:val="24"/>
          <w:szCs w:val="24"/>
        </w:rPr>
      </w:pPr>
      <w:r>
        <w:rPr>
          <w:sz w:val="24"/>
          <w:szCs w:val="24"/>
        </w:rPr>
        <w:t>Corte di Appello</w:t>
      </w:r>
      <w:r w:rsidR="00B00313" w:rsidRPr="004F775A">
        <w:rPr>
          <w:sz w:val="24"/>
          <w:szCs w:val="24"/>
        </w:rPr>
        <w:t xml:space="preserve"> di Brescia, I sezione penale, </w:t>
      </w:r>
      <w:r>
        <w:rPr>
          <w:sz w:val="24"/>
          <w:szCs w:val="24"/>
        </w:rPr>
        <w:t>Presidente Dr.ssa Cavallari</w:t>
      </w:r>
      <w:r w:rsidR="00B00313" w:rsidRPr="004F775A">
        <w:rPr>
          <w:sz w:val="24"/>
          <w:szCs w:val="24"/>
        </w:rPr>
        <w:t xml:space="preserve">, sentenza nr. </w:t>
      </w:r>
      <w:r>
        <w:rPr>
          <w:sz w:val="24"/>
          <w:szCs w:val="24"/>
        </w:rPr>
        <w:t>2161</w:t>
      </w:r>
      <w:r w:rsidR="00B00313" w:rsidRPr="004F775A">
        <w:rPr>
          <w:sz w:val="24"/>
          <w:szCs w:val="24"/>
        </w:rPr>
        <w:t xml:space="preserve"> del </w:t>
      </w:r>
      <w:r>
        <w:rPr>
          <w:sz w:val="24"/>
          <w:szCs w:val="24"/>
        </w:rPr>
        <w:t>09.07.2018</w:t>
      </w:r>
    </w:p>
    <w:p w:rsidR="00416982" w:rsidRPr="00591A31" w:rsidRDefault="00416982" w:rsidP="00416982">
      <w:pPr>
        <w:spacing w:line="276" w:lineRule="auto"/>
        <w:jc w:val="both"/>
        <w:rPr>
          <w:b/>
          <w:bCs/>
          <w:sz w:val="24"/>
          <w:szCs w:val="24"/>
        </w:rPr>
      </w:pPr>
    </w:p>
    <w:p w:rsidR="00CB5A56" w:rsidRPr="00591A31" w:rsidRDefault="003D6BB1" w:rsidP="00087E3E">
      <w:pPr>
        <w:tabs>
          <w:tab w:val="num" w:pos="567"/>
        </w:tabs>
        <w:spacing w:line="276" w:lineRule="auto"/>
        <w:ind w:left="567" w:hanging="11"/>
        <w:jc w:val="both"/>
        <w:rPr>
          <w:sz w:val="24"/>
          <w:szCs w:val="24"/>
        </w:rPr>
      </w:pPr>
      <w:r>
        <w:rPr>
          <w:b/>
          <w:bCs/>
          <w:sz w:val="24"/>
          <w:szCs w:val="24"/>
        </w:rPr>
        <w:t>Violenza sessuale – connessione con altri reati – perseguibilità senza querela</w:t>
      </w:r>
    </w:p>
    <w:p w:rsidR="00352A98" w:rsidRDefault="00352A98" w:rsidP="007F5983">
      <w:pPr>
        <w:jc w:val="both"/>
        <w:rPr>
          <w:sz w:val="24"/>
          <w:szCs w:val="24"/>
        </w:rPr>
      </w:pPr>
    </w:p>
    <w:p w:rsidR="00335E9E" w:rsidRDefault="00335E9E" w:rsidP="007F5983">
      <w:pPr>
        <w:jc w:val="both"/>
        <w:rPr>
          <w:sz w:val="24"/>
          <w:szCs w:val="24"/>
        </w:rPr>
      </w:pPr>
      <w:r>
        <w:rPr>
          <w:sz w:val="24"/>
          <w:szCs w:val="24"/>
        </w:rPr>
        <w:t xml:space="preserve">Ai sensi dell’art. 609 </w:t>
      </w:r>
      <w:r>
        <w:rPr>
          <w:i/>
          <w:sz w:val="24"/>
          <w:szCs w:val="24"/>
        </w:rPr>
        <w:t xml:space="preserve">septies </w:t>
      </w:r>
      <w:r>
        <w:rPr>
          <w:sz w:val="24"/>
          <w:szCs w:val="24"/>
        </w:rPr>
        <w:t xml:space="preserve">co. 4 c.p., la connessione del reato di violenza sessuale </w:t>
      </w:r>
      <w:r w:rsidR="000951C7">
        <w:rPr>
          <w:sz w:val="24"/>
          <w:szCs w:val="24"/>
        </w:rPr>
        <w:t xml:space="preserve">con altro procedibile d’ufficio ne consente </w:t>
      </w:r>
      <w:r>
        <w:rPr>
          <w:sz w:val="24"/>
          <w:szCs w:val="24"/>
        </w:rPr>
        <w:t xml:space="preserve">la perseguibilità </w:t>
      </w:r>
      <w:r w:rsidRPr="00335E9E">
        <w:rPr>
          <w:sz w:val="24"/>
          <w:szCs w:val="24"/>
        </w:rPr>
        <w:t xml:space="preserve">anche </w:t>
      </w:r>
      <w:r w:rsidR="000951C7">
        <w:rPr>
          <w:sz w:val="24"/>
          <w:szCs w:val="24"/>
        </w:rPr>
        <w:t xml:space="preserve">nelle ipotesi di </w:t>
      </w:r>
      <w:r>
        <w:rPr>
          <w:sz w:val="24"/>
          <w:szCs w:val="24"/>
        </w:rPr>
        <w:t xml:space="preserve">difetto o tardività della querela </w:t>
      </w:r>
      <w:r w:rsidR="000951C7">
        <w:rPr>
          <w:sz w:val="24"/>
          <w:szCs w:val="24"/>
        </w:rPr>
        <w:t xml:space="preserve">relativa al reato di cui all’art. 609 </w:t>
      </w:r>
      <w:r w:rsidR="000951C7">
        <w:rPr>
          <w:i/>
          <w:sz w:val="24"/>
          <w:szCs w:val="24"/>
        </w:rPr>
        <w:t xml:space="preserve">bis </w:t>
      </w:r>
      <w:r w:rsidR="000951C7">
        <w:rPr>
          <w:sz w:val="24"/>
          <w:szCs w:val="24"/>
        </w:rPr>
        <w:t>c.p..</w:t>
      </w:r>
    </w:p>
    <w:p w:rsidR="00071FCA" w:rsidRDefault="009204ED" w:rsidP="009204ED">
      <w:pPr>
        <w:jc w:val="both"/>
        <w:rPr>
          <w:sz w:val="24"/>
          <w:szCs w:val="24"/>
        </w:rPr>
      </w:pPr>
      <w:r>
        <w:rPr>
          <w:sz w:val="24"/>
          <w:szCs w:val="24"/>
        </w:rPr>
        <w:t>La connessione tra reati, sia essa processuale (ai sensi dell’art. 12 c.p.p.) che materiale (che ricorre</w:t>
      </w:r>
      <w:r>
        <w:rPr>
          <w:sz w:val="24"/>
          <w:szCs w:val="24"/>
        </w:rPr>
        <w:t xml:space="preserve">, </w:t>
      </w:r>
      <w:r>
        <w:rPr>
          <w:sz w:val="24"/>
          <w:szCs w:val="24"/>
        </w:rPr>
        <w:t>tra gli altri</w:t>
      </w:r>
      <w:r>
        <w:rPr>
          <w:sz w:val="24"/>
          <w:szCs w:val="24"/>
        </w:rPr>
        <w:t>, quando l’indagine sul reato perseguibile d’ufficio comporti necessariamente l’accertamento di altro punibile a querela</w:t>
      </w:r>
      <w:r>
        <w:rPr>
          <w:sz w:val="24"/>
          <w:szCs w:val="24"/>
        </w:rPr>
        <w:t xml:space="preserve">. In questi casi, peraltro, </w:t>
      </w:r>
      <w:r>
        <w:rPr>
          <w:sz w:val="24"/>
          <w:szCs w:val="24"/>
        </w:rPr>
        <w:t>non risulta</w:t>
      </w:r>
      <w:r>
        <w:rPr>
          <w:sz w:val="24"/>
          <w:szCs w:val="24"/>
        </w:rPr>
        <w:t xml:space="preserve"> necessaria</w:t>
      </w:r>
      <w:r>
        <w:rPr>
          <w:sz w:val="24"/>
          <w:szCs w:val="24"/>
        </w:rPr>
        <w:t xml:space="preserve"> la formale contestazione del reato procedibile d’ufficio essendo sufficiente l’avvio delle indagini da parte del pubblico ministero</w:t>
      </w:r>
      <w:r>
        <w:rPr>
          <w:sz w:val="24"/>
          <w:szCs w:val="24"/>
        </w:rPr>
        <w:t>) determina la procedibilità d’ufficio di tutti i reati contestati.</w:t>
      </w:r>
    </w:p>
    <w:p w:rsidR="00071FCA" w:rsidRDefault="00071FCA" w:rsidP="007F5983">
      <w:pPr>
        <w:jc w:val="both"/>
        <w:rPr>
          <w:sz w:val="24"/>
          <w:szCs w:val="24"/>
        </w:rPr>
      </w:pPr>
    </w:p>
    <w:p w:rsidR="0083151A" w:rsidRDefault="00071FCA" w:rsidP="00071FCA">
      <w:pPr>
        <w:jc w:val="both"/>
        <w:rPr>
          <w:sz w:val="24"/>
          <w:szCs w:val="24"/>
        </w:rPr>
      </w:pPr>
      <w:r>
        <w:rPr>
          <w:sz w:val="24"/>
          <w:szCs w:val="24"/>
        </w:rPr>
        <w:t xml:space="preserve">[Nel caso di specie, la Corte di Appello di Brescia, in riforma della sentenza di proscioglimento per difetto della condizione di procedibilità per tardività della querela emessa in primo grado, condannava l’imputato per il reato di cui all’art. 609 </w:t>
      </w:r>
      <w:r>
        <w:rPr>
          <w:i/>
          <w:sz w:val="24"/>
          <w:szCs w:val="24"/>
        </w:rPr>
        <w:t>bis</w:t>
      </w:r>
      <w:r>
        <w:rPr>
          <w:sz w:val="24"/>
          <w:szCs w:val="24"/>
        </w:rPr>
        <w:t xml:space="preserve"> c.p.. A fondamento della sentenza di primo grado v’era stata l’esclusione della connession</w:t>
      </w:r>
      <w:bookmarkStart w:id="0" w:name="_GoBack"/>
      <w:bookmarkEnd w:id="0"/>
      <w:r>
        <w:rPr>
          <w:sz w:val="24"/>
          <w:szCs w:val="24"/>
        </w:rPr>
        <w:t xml:space="preserve">e, </w:t>
      </w:r>
      <w:r>
        <w:rPr>
          <w:i/>
          <w:sz w:val="24"/>
          <w:szCs w:val="24"/>
        </w:rPr>
        <w:t xml:space="preserve">ex </w:t>
      </w:r>
      <w:r>
        <w:rPr>
          <w:sz w:val="24"/>
          <w:szCs w:val="24"/>
        </w:rPr>
        <w:t xml:space="preserve">art. 12 lett. b) c.p.p., del delitto di violenza sessuale con gli reati originariamente contestati all’imputato, ivi compreso quello di maltrattamenti di cui all’art. 572 c.p.]. </w:t>
      </w:r>
    </w:p>
    <w:p w:rsidR="00CB5A56" w:rsidRPr="00591A31" w:rsidRDefault="00CB5A56">
      <w:pPr>
        <w:rPr>
          <w:rFonts w:asciiTheme="minorHAnsi" w:eastAsiaTheme="minorEastAsia" w:hAnsiTheme="minorHAnsi" w:cstheme="minorBidi"/>
          <w:sz w:val="24"/>
          <w:szCs w:val="24"/>
        </w:rPr>
      </w:pPr>
    </w:p>
    <w:sectPr w:rsidR="00CB5A56" w:rsidRPr="00591A31" w:rsidSect="00033BD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B7" w:rsidRDefault="00AC46B7" w:rsidP="00EF2097">
      <w:r>
        <w:separator/>
      </w:r>
    </w:p>
  </w:endnote>
  <w:endnote w:type="continuationSeparator" w:id="0">
    <w:p w:rsidR="00AC46B7" w:rsidRDefault="00AC46B7" w:rsidP="00EF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B7" w:rsidRDefault="00AC46B7" w:rsidP="00EF2097">
      <w:r>
        <w:separator/>
      </w:r>
    </w:p>
  </w:footnote>
  <w:footnote w:type="continuationSeparator" w:id="0">
    <w:p w:rsidR="00AC46B7" w:rsidRDefault="00AC46B7" w:rsidP="00EF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2D70B6"/>
    <w:multiLevelType w:val="hybridMultilevel"/>
    <w:tmpl w:val="7A0C9F80"/>
    <w:lvl w:ilvl="0" w:tplc="D20484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9B"/>
    <w:rsid w:val="00022771"/>
    <w:rsid w:val="00033AFA"/>
    <w:rsid w:val="00033BD1"/>
    <w:rsid w:val="0004517B"/>
    <w:rsid w:val="00063B60"/>
    <w:rsid w:val="00071FCA"/>
    <w:rsid w:val="00087E3E"/>
    <w:rsid w:val="000951C7"/>
    <w:rsid w:val="00097BB6"/>
    <w:rsid w:val="000C4831"/>
    <w:rsid w:val="000E03A1"/>
    <w:rsid w:val="00152682"/>
    <w:rsid w:val="0018334C"/>
    <w:rsid w:val="001C5EF2"/>
    <w:rsid w:val="001F5159"/>
    <w:rsid w:val="0023039B"/>
    <w:rsid w:val="002467FD"/>
    <w:rsid w:val="00297F8B"/>
    <w:rsid w:val="002A5628"/>
    <w:rsid w:val="002B0654"/>
    <w:rsid w:val="002C382A"/>
    <w:rsid w:val="002E09D2"/>
    <w:rsid w:val="002F5794"/>
    <w:rsid w:val="00335E9E"/>
    <w:rsid w:val="00352A98"/>
    <w:rsid w:val="00380CEF"/>
    <w:rsid w:val="003A154D"/>
    <w:rsid w:val="003B1BEB"/>
    <w:rsid w:val="003B271E"/>
    <w:rsid w:val="003D44C4"/>
    <w:rsid w:val="003D6BB1"/>
    <w:rsid w:val="00416982"/>
    <w:rsid w:val="004531D9"/>
    <w:rsid w:val="004C122E"/>
    <w:rsid w:val="004F4FC6"/>
    <w:rsid w:val="004F59C5"/>
    <w:rsid w:val="004F775A"/>
    <w:rsid w:val="00510381"/>
    <w:rsid w:val="00526D98"/>
    <w:rsid w:val="005618FD"/>
    <w:rsid w:val="00591A31"/>
    <w:rsid w:val="006522D2"/>
    <w:rsid w:val="007D5278"/>
    <w:rsid w:val="007F5983"/>
    <w:rsid w:val="0083151A"/>
    <w:rsid w:val="00891F50"/>
    <w:rsid w:val="008B6E69"/>
    <w:rsid w:val="00900433"/>
    <w:rsid w:val="009204ED"/>
    <w:rsid w:val="0096760A"/>
    <w:rsid w:val="009738DE"/>
    <w:rsid w:val="009B476F"/>
    <w:rsid w:val="00A36D07"/>
    <w:rsid w:val="00A80A0B"/>
    <w:rsid w:val="00AA423B"/>
    <w:rsid w:val="00AC46B7"/>
    <w:rsid w:val="00AD798F"/>
    <w:rsid w:val="00AF5988"/>
    <w:rsid w:val="00B00313"/>
    <w:rsid w:val="00B13300"/>
    <w:rsid w:val="00B80A9A"/>
    <w:rsid w:val="00BA5056"/>
    <w:rsid w:val="00C13AB1"/>
    <w:rsid w:val="00C32360"/>
    <w:rsid w:val="00C4728E"/>
    <w:rsid w:val="00C56B71"/>
    <w:rsid w:val="00C62A50"/>
    <w:rsid w:val="00C8683E"/>
    <w:rsid w:val="00C86D8D"/>
    <w:rsid w:val="00C91B42"/>
    <w:rsid w:val="00CB5A56"/>
    <w:rsid w:val="00D43252"/>
    <w:rsid w:val="00DC1904"/>
    <w:rsid w:val="00DD3D0B"/>
    <w:rsid w:val="00E106D4"/>
    <w:rsid w:val="00E273AA"/>
    <w:rsid w:val="00EB284F"/>
    <w:rsid w:val="00EE53BD"/>
    <w:rsid w:val="00EF2097"/>
    <w:rsid w:val="00FB0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8FFAA5-049C-48E5-874E-C48B22F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39B"/>
    <w:pPr>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EF2097"/>
  </w:style>
  <w:style w:type="character" w:customStyle="1" w:styleId="TestonotadichiusuraCarattere">
    <w:name w:val="Testo nota di chiusura Carattere"/>
    <w:basedOn w:val="Carpredefinitoparagrafo"/>
    <w:link w:val="Testonotadichiusura"/>
    <w:uiPriority w:val="99"/>
    <w:semiHidden/>
    <w:rsid w:val="00EF2097"/>
    <w:rPr>
      <w:rFonts w:ascii="Times New Roman" w:eastAsia="Times New Roman" w:hAnsi="Times New Roman" w:cs="Times New Roman"/>
      <w:sz w:val="20"/>
      <w:szCs w:val="20"/>
    </w:rPr>
  </w:style>
  <w:style w:type="character" w:styleId="Rimandonotadichiusura">
    <w:name w:val="endnote reference"/>
    <w:basedOn w:val="Carpredefinitoparagrafo"/>
    <w:uiPriority w:val="99"/>
    <w:semiHidden/>
    <w:unhideWhenUsed/>
    <w:rsid w:val="00EF2097"/>
    <w:rPr>
      <w:vertAlign w:val="superscript"/>
    </w:rPr>
  </w:style>
  <w:style w:type="paragraph" w:styleId="Paragrafoelenco">
    <w:name w:val="List Paragraph"/>
    <w:basedOn w:val="Normale"/>
    <w:uiPriority w:val="34"/>
    <w:qFormat/>
    <w:rsid w:val="00C5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8EAD-F829-4E30-9F4E-ED1B2A20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Anna</cp:lastModifiedBy>
  <cp:revision>7</cp:revision>
  <dcterms:created xsi:type="dcterms:W3CDTF">2018-12-03T17:15:00Z</dcterms:created>
  <dcterms:modified xsi:type="dcterms:W3CDTF">2018-12-05T12:19:00Z</dcterms:modified>
</cp:coreProperties>
</file>