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8E" w:rsidRPr="004D0F32" w:rsidRDefault="00645A9C" w:rsidP="004D0F32">
      <w:pPr>
        <w:pStyle w:val="DatiSent"/>
        <w:pageBreakBefore/>
        <w:spacing w:line="276" w:lineRule="auto"/>
        <w:rPr>
          <w:rFonts w:ascii="Times New Roman" w:hAnsi="Times New Roman" w:cs="Times New Roman"/>
        </w:rPr>
      </w:pPr>
      <w:r w:rsidRPr="004D0F32">
        <w:rPr>
          <w:rFonts w:ascii="Times New Roman" w:hAnsi="Times New Roman" w:cs="Times New Roman"/>
        </w:rPr>
        <w:t>Tribunale di Brescia, Seconda Sezione Penale in composizione collegiale (Pres. Est. Di Martino), sentenza n. 2146 del 30 maggio 2017</w:t>
      </w:r>
    </w:p>
    <w:p w:rsidR="001E4A8E" w:rsidRPr="004D0F32" w:rsidRDefault="00645A9C" w:rsidP="004D0F32">
      <w:pPr>
        <w:pStyle w:val="argomento"/>
        <w:spacing w:line="276" w:lineRule="auto"/>
        <w:ind w:left="0"/>
        <w:rPr>
          <w:rFonts w:ascii="Times New Roman" w:hAnsi="Times New Roman" w:cs="Times New Roman"/>
        </w:rPr>
      </w:pPr>
      <w:r w:rsidRPr="004D0F32">
        <w:rPr>
          <w:rFonts w:ascii="Times New Roman" w:hAnsi="Times New Roman" w:cs="Times New Roman"/>
        </w:rPr>
        <w:t xml:space="preserve">Favoreggiamento dell’immigrazione clandestina (art. 12 d.lgs. 286/98) – Dolo specifico – Fatto commesso da tre o più persone in concorso tra loro o mediante l’utilizzo di documenti contraffatti o </w:t>
      </w:r>
      <w:bookmarkStart w:id="0" w:name="_GoBack"/>
      <w:bookmarkEnd w:id="0"/>
      <w:r w:rsidRPr="004D0F32">
        <w:rPr>
          <w:rFonts w:ascii="Times New Roman" w:hAnsi="Times New Roman" w:cs="Times New Roman"/>
        </w:rPr>
        <w:t>alterati.</w:t>
      </w:r>
    </w:p>
    <w:p w:rsidR="001E4A8E" w:rsidRPr="004D0F32" w:rsidRDefault="0073228B" w:rsidP="004D0F32">
      <w:pPr>
        <w:pStyle w:val="massim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0F32">
        <w:rPr>
          <w:rFonts w:ascii="Times New Roman" w:hAnsi="Times New Roman" w:cs="Times New Roman"/>
          <w:sz w:val="24"/>
          <w:szCs w:val="24"/>
        </w:rPr>
        <w:t>Le condotte volte a procurare illegalmente l’ingresso dello straniero nel territorio dello Stato commesse prima dell’entrata in vigore della l. 94/2009 [che ha modificato l’art. 12 d.lgs. 286/98] e non connotate da dolo specifico del profitto, integrano la fattispecie di cui al comma 1 dell’art. 12 d.lgs. 286/98 e non la più grave fattispecie di cui al comma 3</w:t>
      </w:r>
      <w:r w:rsidR="00AE5B0E" w:rsidRPr="004D0F32">
        <w:rPr>
          <w:rFonts w:ascii="Times New Roman" w:hAnsi="Times New Roman" w:cs="Times New Roman"/>
          <w:sz w:val="24"/>
          <w:szCs w:val="24"/>
        </w:rPr>
        <w:t xml:space="preserve"> (nel caso di specie, il Tribunale escludeva la sussistenza del dolo specifico </w:t>
      </w:r>
      <w:r w:rsidR="005D7086" w:rsidRPr="004D0F32">
        <w:rPr>
          <w:rFonts w:ascii="Times New Roman" w:hAnsi="Times New Roman" w:cs="Times New Roman"/>
          <w:sz w:val="24"/>
          <w:szCs w:val="24"/>
        </w:rPr>
        <w:t xml:space="preserve">in quanto, pur formalmente contestata la fattispecie di cui all’art. 12 comma 3 d.lgs. 286/98 [nella versione precedente all’entrata in vigore della l. 94/2009], già nella narrativa del capo d’imputazione </w:t>
      </w:r>
      <w:r w:rsidR="0001628A" w:rsidRPr="004D0F32">
        <w:rPr>
          <w:rFonts w:ascii="Times New Roman" w:hAnsi="Times New Roman" w:cs="Times New Roman"/>
          <w:sz w:val="24"/>
          <w:szCs w:val="24"/>
        </w:rPr>
        <w:t>non veniva individuato il dolo specifico del profitto; per l’effetto riqualificava il fatto ai sensi dell’art. 12 comma 1 d.lgs. 286/98</w:t>
      </w:r>
      <w:r w:rsidR="005D7086" w:rsidRPr="004D0F32">
        <w:rPr>
          <w:rFonts w:ascii="Times New Roman" w:hAnsi="Times New Roman" w:cs="Times New Roman"/>
          <w:sz w:val="24"/>
          <w:szCs w:val="24"/>
        </w:rPr>
        <w:t>)</w:t>
      </w:r>
      <w:r w:rsidRPr="004D0F32">
        <w:rPr>
          <w:rFonts w:ascii="Times New Roman" w:hAnsi="Times New Roman" w:cs="Times New Roman"/>
          <w:sz w:val="24"/>
          <w:szCs w:val="24"/>
        </w:rPr>
        <w:t>.</w:t>
      </w:r>
    </w:p>
    <w:p w:rsidR="00645A9C" w:rsidRPr="004D0F32" w:rsidRDefault="00AE5B0E" w:rsidP="004D0F32">
      <w:pPr>
        <w:pStyle w:val="massim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0F32">
        <w:rPr>
          <w:rFonts w:ascii="Times New Roman" w:hAnsi="Times New Roman" w:cs="Times New Roman"/>
          <w:sz w:val="24"/>
          <w:szCs w:val="24"/>
        </w:rPr>
        <w:t>La circostanza aggravante del fatto commesso da tre o più persone o mediante l’uso di documenti contraffatti, prevista dal comma 3 bis dell’art. 12 d.lgs. 286/98 nella versione antecedente alla modifica legislativa intervenuta con l. 94/2009, era circostanza aggravante ad effetto comune e, come tale, priva di rilievo ai fini del computo della prescrizione (</w:t>
      </w:r>
      <w:r w:rsidR="0001628A" w:rsidRPr="004D0F32">
        <w:rPr>
          <w:rFonts w:ascii="Times New Roman" w:hAnsi="Times New Roman" w:cs="Times New Roman"/>
          <w:sz w:val="24"/>
          <w:szCs w:val="24"/>
        </w:rPr>
        <w:t>n</w:t>
      </w:r>
      <w:r w:rsidRPr="004D0F32">
        <w:rPr>
          <w:rFonts w:ascii="Times New Roman" w:hAnsi="Times New Roman" w:cs="Times New Roman"/>
          <w:sz w:val="24"/>
          <w:szCs w:val="24"/>
        </w:rPr>
        <w:t>el caso di specie</w:t>
      </w:r>
      <w:r w:rsidR="00C74CA9" w:rsidRPr="004D0F32">
        <w:rPr>
          <w:rFonts w:ascii="Times New Roman" w:hAnsi="Times New Roman" w:cs="Times New Roman"/>
          <w:sz w:val="24"/>
          <w:szCs w:val="24"/>
        </w:rPr>
        <w:t>, previa riqualificazione del fatto ai sensi dell’art. 12 comma 1 d.lgs. 286/98, il Tribunale pronunciava sentenza di non doversi procedere per intervenuta prescrizione).</w:t>
      </w:r>
    </w:p>
    <w:sectPr w:rsidR="00645A9C" w:rsidRPr="004D0F32">
      <w:footerReference w:type="default" r:id="rId6"/>
      <w:footerReference w:type="first" r:id="rId7"/>
      <w:pgSz w:w="11906" w:h="16838"/>
      <w:pgMar w:top="1134" w:right="1304" w:bottom="1445" w:left="1417" w:header="720" w:footer="1020" w:gutter="0"/>
      <w:cols w:space="72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DA" w:rsidRDefault="00E20EDA">
      <w:r>
        <w:separator/>
      </w:r>
    </w:p>
  </w:endnote>
  <w:endnote w:type="continuationSeparator" w:id="0">
    <w:p w:rsidR="00E20EDA" w:rsidRDefault="00E2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8E" w:rsidRDefault="001E4A8E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8E" w:rsidRDefault="001E4A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DA" w:rsidRDefault="00E20EDA">
      <w:r>
        <w:separator/>
      </w:r>
    </w:p>
  </w:footnote>
  <w:footnote w:type="continuationSeparator" w:id="0">
    <w:p w:rsidR="00E20EDA" w:rsidRDefault="00E2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8B"/>
    <w:rsid w:val="0001628A"/>
    <w:rsid w:val="001E4A8E"/>
    <w:rsid w:val="00210ED1"/>
    <w:rsid w:val="003269D7"/>
    <w:rsid w:val="004D0F32"/>
    <w:rsid w:val="005D7086"/>
    <w:rsid w:val="00645A9C"/>
    <w:rsid w:val="00674537"/>
    <w:rsid w:val="0073228B"/>
    <w:rsid w:val="007E30AB"/>
    <w:rsid w:val="00AE5B0E"/>
    <w:rsid w:val="00C74CA9"/>
    <w:rsid w:val="00E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7AC023-775A-42D8-968D-AF0AD6D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Arial Unicode MS"/>
      <w:color w:val="00000A"/>
      <w:sz w:val="24"/>
      <w:szCs w:val="24"/>
      <w:u w:color="00000A"/>
      <w:lang w:val="en-US" w:eastAsia="en-US"/>
    </w:rPr>
  </w:style>
  <w:style w:type="paragraph" w:styleId="Titolo1">
    <w:name w:val="heading 1"/>
    <w:basedOn w:val="Heading"/>
    <w:qFormat/>
    <w:pPr>
      <w:outlineLvl w:val="0"/>
    </w:pPr>
  </w:style>
  <w:style w:type="paragraph" w:styleId="Titolo2">
    <w:name w:val="heading 2"/>
    <w:basedOn w:val="Heading"/>
    <w:qFormat/>
    <w:pPr>
      <w:outlineLvl w:val="1"/>
    </w:pPr>
  </w:style>
  <w:style w:type="paragraph" w:styleId="Titolo3">
    <w:name w:val="heading 3"/>
    <w:basedOn w:val="Heading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 w:color="00000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DatiSent">
    <w:name w:val="DatiSen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jc w:val="both"/>
    </w:pPr>
    <w:rPr>
      <w:rFonts w:ascii="Optima" w:eastAsia="Arial Unicode MS" w:hAnsi="Optima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argomento">
    <w:name w:val="argomen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ind w:left="567" w:right="510"/>
      <w:jc w:val="both"/>
    </w:pPr>
    <w:rPr>
      <w:rFonts w:ascii="Verdana" w:eastAsia="Arial Unicode MS" w:hAnsi="Verdana" w:cs="Arial Unicode MS"/>
      <w:b/>
      <w:bCs/>
      <w:color w:val="000000"/>
      <w:kern w:val="1"/>
      <w:sz w:val="24"/>
      <w:szCs w:val="24"/>
      <w:u w:color="000000"/>
      <w:lang w:eastAsia="zh-CN" w:bidi="hi-IN"/>
    </w:rPr>
  </w:style>
  <w:style w:type="paragraph" w:customStyle="1" w:styleId="massima">
    <w:name w:val="massim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340" w:line="170" w:lineRule="atLeast"/>
      <w:jc w:val="both"/>
    </w:pPr>
    <w:rPr>
      <w:rFonts w:ascii="Verdana" w:eastAsia="Arial Unicode MS" w:hAnsi="Verdana" w:cs="Arial Unicode MS"/>
      <w:color w:val="000000"/>
      <w:kern w:val="1"/>
      <w:u w:color="000000"/>
      <w:lang w:eastAsia="zh-CN" w:bidi="hi-IN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Quotations">
    <w:name w:val="Quotations"/>
    <w:basedOn w:val="Normale"/>
  </w:style>
  <w:style w:type="paragraph" w:styleId="Titolo">
    <w:name w:val="Title"/>
    <w:basedOn w:val="Heading"/>
    <w:qFormat/>
  </w:style>
  <w:style w:type="paragraph" w:styleId="Sottotitolo">
    <w:name w:val="Subtitle"/>
    <w:basedOn w:val="Heading"/>
    <w:qFormat/>
  </w:style>
  <w:style w:type="paragraph" w:customStyle="1" w:styleId="annotazioni">
    <w:name w:val="annotazioni"/>
    <w:basedOn w:val="massima"/>
    <w:pPr>
      <w:tabs>
        <w:tab w:val="left" w:pos="0"/>
      </w:tabs>
      <w:ind w:left="567" w:right="68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GIURI%20LOCALE\form_massi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form_massima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</cp:lastModifiedBy>
  <cp:revision>3</cp:revision>
  <cp:lastPrinted>1899-12-31T22:00:00Z</cp:lastPrinted>
  <dcterms:created xsi:type="dcterms:W3CDTF">2018-05-25T06:18:00Z</dcterms:created>
  <dcterms:modified xsi:type="dcterms:W3CDTF">2018-05-28T08:26:00Z</dcterms:modified>
</cp:coreProperties>
</file>