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3B" w:rsidRPr="00044B37" w:rsidRDefault="00CF573B" w:rsidP="00CF573B">
      <w:pPr>
        <w:pStyle w:val="DatiSent"/>
        <w:pageBreakBefore/>
        <w:spacing w:line="276" w:lineRule="auto"/>
        <w:rPr>
          <w:rFonts w:ascii="Times New Roman" w:hAnsi="Times New Roman" w:cs="Times New Roman"/>
        </w:rPr>
      </w:pPr>
      <w:r w:rsidRPr="00044B37">
        <w:rPr>
          <w:rFonts w:ascii="Times New Roman" w:hAnsi="Times New Roman" w:cs="Times New Roman"/>
        </w:rPr>
        <w:t>Tribunale di Brescia, Seconda Sezione Penale in composizione collegiale (</w:t>
      </w:r>
      <w:proofErr w:type="spellStart"/>
      <w:r w:rsidRPr="00044B37">
        <w:rPr>
          <w:rFonts w:ascii="Times New Roman" w:hAnsi="Times New Roman" w:cs="Times New Roman"/>
        </w:rPr>
        <w:t>Pres</w:t>
      </w:r>
      <w:proofErr w:type="spellEnd"/>
      <w:r w:rsidRPr="00044B37">
        <w:rPr>
          <w:rFonts w:ascii="Times New Roman" w:hAnsi="Times New Roman" w:cs="Times New Roman"/>
        </w:rPr>
        <w:t>. Est. Di Martino), sentenza n. 3071 del 12 settembre 2017.</w:t>
      </w:r>
    </w:p>
    <w:p w:rsidR="00943FC2" w:rsidRPr="00044B37" w:rsidRDefault="00943FC2" w:rsidP="00943FC2">
      <w:pPr>
        <w:pStyle w:val="argomento"/>
        <w:spacing w:line="276" w:lineRule="auto"/>
        <w:ind w:left="0"/>
        <w:rPr>
          <w:rFonts w:ascii="Times New Roman" w:hAnsi="Times New Roman" w:cs="Times New Roman"/>
        </w:rPr>
      </w:pPr>
      <w:r w:rsidRPr="00044B37">
        <w:rPr>
          <w:rFonts w:ascii="Times New Roman" w:hAnsi="Times New Roman" w:cs="Times New Roman"/>
        </w:rPr>
        <w:t>Colpa medica – violazione delle linee-guida e delle buone pratiche – Imperizia grave ed imprudenza.</w:t>
      </w:r>
    </w:p>
    <w:p w:rsidR="00943FC2" w:rsidRPr="00044B37" w:rsidRDefault="00943FC2" w:rsidP="00943FC2">
      <w:pPr>
        <w:pStyle w:val="argomento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044B37">
        <w:rPr>
          <w:rFonts w:ascii="Times New Roman" w:hAnsi="Times New Roman" w:cs="Times New Roman"/>
          <w:b w:val="0"/>
        </w:rPr>
        <w:t>Si caratterizza come colpa medica, sotto il profilo della imperizia grave e della imprudenza, la condotta del medico che tenga un comportamento in palese scostamento dalle linee guida nazionali ed internazionali e tale scostamento non sia giustificato (nel caso di specie, il medico ometteva di sottoporre il paziente a profilassi antibiotica per via endovenosa nel periodo temporale tra i 30 ed i 60 minuti prima dell’intervento chirurgico; fatti commessi nel mese di ottobre 2012).</w:t>
      </w:r>
    </w:p>
    <w:p w:rsidR="00065406" w:rsidRDefault="00065406">
      <w:bookmarkStart w:id="0" w:name="_GoBack"/>
      <w:bookmarkEnd w:id="0"/>
    </w:p>
    <w:sectPr w:rsidR="0006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B"/>
    <w:rsid w:val="00065406"/>
    <w:rsid w:val="00943FC2"/>
    <w:rsid w:val="00C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9733-D590-4EE3-9A1C-0BC7F1D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iSent">
    <w:name w:val="DatiSent"/>
    <w:rsid w:val="00CF57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Optima" w:eastAsia="Arial Unicode MS" w:hAnsi="Optima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argomento">
    <w:name w:val="argomento"/>
    <w:rsid w:val="00CF57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ind w:left="567" w:right="510"/>
      <w:jc w:val="both"/>
    </w:pPr>
    <w:rPr>
      <w:rFonts w:ascii="Verdana" w:eastAsia="Arial Unicode MS" w:hAnsi="Verdana" w:cs="Arial Unicode MS"/>
      <w:b/>
      <w:bCs/>
      <w:color w:val="000000"/>
      <w:kern w:val="1"/>
      <w:sz w:val="24"/>
      <w:szCs w:val="24"/>
      <w:u w:color="000000"/>
      <w:lang w:eastAsia="zh-CN" w:bidi="hi-IN"/>
    </w:rPr>
  </w:style>
  <w:style w:type="paragraph" w:customStyle="1" w:styleId="massima">
    <w:name w:val="massima"/>
    <w:rsid w:val="00CF57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Verdana" w:eastAsia="Arial Unicode MS" w:hAnsi="Verdana" w:cs="Arial Unicode MS"/>
      <w:color w:val="000000"/>
      <w:kern w:val="1"/>
      <w:sz w:val="20"/>
      <w:szCs w:val="20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2018-05-28T08:37:00Z</dcterms:created>
  <dcterms:modified xsi:type="dcterms:W3CDTF">2018-05-28T08:37:00Z</dcterms:modified>
</cp:coreProperties>
</file>